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Санитарно-микробиологическое исследование воды</w:t>
      </w:r>
    </w:p>
    <w:p w:rsidR="001126B4" w:rsidRPr="000114C1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Общая характеристика микрофлоры воды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Типичными водными экосистемами являются океаны, моря, озера, пруды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 проточные водоемы. Вода – естественная среда обитания микроорганизмов.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Микрофлора природных вод различ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ается по качественному и количе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ственному составу. В большинстве это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отрофы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 но могут встречаться па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тогенные и условно патогенные виды. В основном это бактерии овальной 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цилиндрической формы, среди которых преобладают пигментообразующие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кокки, присутствуют микроорганизмы, 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стречающиеся в почве, где распо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ложены водоемы.</w:t>
      </w:r>
    </w:p>
    <w:p w:rsidR="001126B4" w:rsidRPr="00A6486F" w:rsidRDefault="001126B4" w:rsidP="005A2C28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Каждый водоем имеет характерные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особенности распределения мик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роорганизмов как по вертикали, так и по г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оризонтали. В количественном от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ношении содержание их достаточно велико. В морской воде и иле пресноводных водоемов от 10 млн. до 3 млрд. клеток в 1 мл. Основная масса расположена в прибрежных зонах. На глубине 1 км встречаются единичные представители, а до 4 км они практически отсутствуют.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Подземные воды, родниковые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 воды глубоких артезианских ко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лодцев содержат единичные микробные клетки. Подземные воды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обычных колодцев содержат значи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тельное количество микроорганиз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мов; чем ближе к поверхности расположены грунтовые воды, тем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обильнее их микрофлора.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воде открытых водоемов (повер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хностные воды) количество микро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организмов изменяется в зависимости от метеоусловий и времени год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а. Зи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мой микрофлора воды в 4–12 раз беднее, чем летом.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вертикальном направлении микроорганизмы распределены в воде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более равномерно, чем в почве. На глубине 21 м микроорганизмов только в 2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раза меньше, чем на глубине 3 м.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сточных водах содержится много биогенных фосфор-, углерод-,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азотсодержащих соединений, которые по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падают в водоемы. По мере удале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ния от населенных пунктов и предприяти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й, содержание органики и количе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ство микроорганизмов в воде уменьшаетс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я. Этот процесс называется само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очищением воды. Основную роль в самоочищении вод от органических,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синтетических веществ играют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сапротрофные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микроорганизмы, грибы, гидробионты, высшие растения. При этом микроорганизмы обладают высокой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пластичностью, имеют мощные ферментные системы, благодаря которым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загрязняющие вещества минерализуются и разрушаются.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Установлено, что под влиянием з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агрязняющих веществ в пресновод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ных экосистемах отмечается падение их устойчивости вследствие нарушения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пищевой пирамиды и ломки сигнальных связей в биоценозе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 микробиологи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ческого загрязнения,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эвтрофирования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других крайне неблагоприятных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процессов.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Сапробность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комплекс особенностей водоема, отличающихся степенью загрязненности органическими веществами и определяющих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развитие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соответствующих организмов в воде. Различают три типа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1126B4" w:rsidRPr="00A6486F" w:rsidRDefault="001126B4" w:rsidP="005A2C28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1. Полисапробная зона – сильно заг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рязненная, характеризуется боль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шим количеством высокомолекулярных 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рганических соединений, незначи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тельным содержанием кислорода. Преобл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адают анаэробные бактерии, вызы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вающие гниение и брожение. В 1 мл воды содержится несколько миллионов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бактерий.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Мезосапробная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зона – умеренно загрязненная. Идут интенсивные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процессы минерализации, но преобладают окислительные процессы. За счет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минерализации органических веществ у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меньшается количество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сапротроф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ных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бактерий. В этой зоне содержатся аммиак и метан.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3. Олигосапробная зона – зона чистой воды, органических веществ нет,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окислительные процессы прекращаются. Численность бактерий снижается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10–100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кл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/мл.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 естественных незагрязненных проточных водоемах часто бывает так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мало одноклеточных организмов, что вода кажется кристально прозрачной.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Состав микрофлоры и микрофауны в водоеме служит хорошим индикатором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степени его загрязнения. Если в водоеме еще встречаются дафнии – значит,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вода чистая. Присутствие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Sphaerotilus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natans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указывает на сильное загрязне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ние органическими веществами, а запах сероводорода свидетельствует об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анаэробной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сульфатредукции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т. е. служит сигналом тревоги.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Интенсивность и направленность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микробиологических процессов за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висит от температуры и содержания в вод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е молекулярного кислорода. В за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висимости от количества кислорода в водоемах выделяют три зоны.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1. Аэробная – поверхностная зона,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содержит много кислорода. Ее на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селяют водоросли и микроорганизмы, 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существляющие процессы минерали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зации: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Pseudomonas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Artrobacter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миксобактерии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 Толщина слоя зависит от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количества органики. Если органических веществ мало, то аэробы растут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медленно, кислород проходит вглубь и зона увеличивается. Если органики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много, то происходит быстрый рост микр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оорганизмов и кислород не прохо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дит.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2. Анаэробная – содержит мало кислорода. Обитают факультативные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 облигатные анаэробы. Нет процесса нитрификации – выделяется аммиак,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вода бедна нитратами. Выделяется много метана. Если содержится много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сульфатов, то образуется сероводород. Если мало сульфатов, то сероводород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образуется за счет расщепления серосодержащих аминокислот. В этой зоне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обнаруживаются пурпурные и зеленые серобактерии, сульфатредуцирующие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бактерии, можно найти формы, обладающие газовыми вакуолями, такие как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Lamprocystis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Amoebobacter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Thiodictyon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Thiopedia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Pelodictyon</w:t>
      </w:r>
      <w:proofErr w:type="spellEnd"/>
      <w:r w:rsidRPr="00223934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Ancalochloris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а также передвигающиеся с помощью жгутиков виды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Chromatium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Thiospirillum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3. Микроаэрофильная – промежуточ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ная между первой и второй. Свер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ху немного кислорода, снизу – метан, аммиак, окислы металлов. Обитают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хемолитоавтотрофы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: водород-, метан-, железоокисляющие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бактерии. Для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ны также характерна высокая биологическая активность. Здесь развиваются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некоторые </w:t>
      </w:r>
      <w:proofErr w:type="spellStart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, способные переносить присутствие сероводорода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 отсутствие О2, в том числе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Oscillatoria</w:t>
      </w:r>
      <w:proofErr w:type="spellEnd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6486F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>limnetica</w:t>
      </w:r>
      <w:proofErr w:type="spellEnd"/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Скорость использования веществ в анаэробных условиях невысока.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 этом накапливаются продукты бро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жения, которые ингибируют после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дующие процессы разложения органики, и она оседает на дно.</w:t>
      </w:r>
    </w:p>
    <w:p w:rsidR="001126B4" w:rsidRPr="00C8399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>Методы исследования</w:t>
      </w:r>
      <w:r w:rsidRPr="00C8399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воды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При санитарно-микробиологическом исследовании воды определяют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микробное число (численность микроорган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измов в 1 мл), коли-титр или ко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ли-индекс в 1 л воды и наличие энтероко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кков в 50 мл воды. При специаль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ном санитарно-микробиологическом исследовании воды наряду с э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тим учи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тывают патогенные микроорганизмы: возбудителей дизентерии, брюшного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тифа, паратифа А, Б и холеры.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Установление микробного числа проводят методом культивирования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или методом фильтрации с использован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ием мембранных фильтров. Послед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ний является более точным. При определении микробного числа методом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культивирования делают посев воды на МПА. 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Водопроводную воду засева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ют в количестве 1 мл, из естественных вод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оемов для засева используют раз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ведения 1:10, 1:100 и 1:1000. Посевы инкубируют при 37 </w:t>
      </w:r>
      <w:r w:rsidRPr="00A6486F">
        <w:rPr>
          <w:rFonts w:ascii="Times New Roman" w:eastAsia="SymbolMT" w:hAnsi="Times New Roman" w:cs="Times New Roman"/>
          <w:color w:val="000000"/>
          <w:sz w:val="28"/>
          <w:szCs w:val="28"/>
        </w:rPr>
        <w:t>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 в течение двух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суток, ведут подсчет выросших колоний в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чашках и делают пересчет количе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ства микроорганизмов на 1 мл воды.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Вода считается хорошего качества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 если число микроорганизмов ме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нее 100 на 1 мл воды, сомнительной – 100–150 микроорганизмов на 1 мл, загрязненной – 150–500 микроорганизмов на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1 мл, грязной – более 500 микро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организмов на 1 мл воды. Вода, содержащ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ая в 1 мл 100 и более микроорга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низмов, считается непригодной для питья.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После установления общего микробного числа определяют бактерии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группы кишечной палочки. У нас в стране действуют следующие нормативы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для питьевой воды централизованного водоснабжения СанПиН 2.1.4.1074–01, для питьевой воды нецентрализованного водоснабжения СанПиН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2.1.4.544–96, согласно которым допускается не более трех 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шечных пало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чек на 1000 мл воды. По международному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стандарту вода считается превос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ходной, когда в 100 мл воды нет ни одно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й кишечной палочки; удовлетвори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тельной – одна–три кишечные палочки; сомнительного качества – четыре–десять и неудовлетворительного качества – более десяти кишечных палочек.</w:t>
      </w:r>
    </w:p>
    <w:p w:rsidR="001126B4" w:rsidRPr="00A6486F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Кишечные палочки в санитарной микробиологии воды используются в</w:t>
      </w:r>
    </w:p>
    <w:p w:rsidR="001126B4" w:rsidRPr="00A6486F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качестве: показателя чистоты; индикатора фекального загрязнения воды;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косвенного показателя загрязнения воды патогенными микроорганизмами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возбудителями кишечных инфекций.</w:t>
      </w:r>
    </w:p>
    <w:p w:rsidR="001126B4" w:rsidRDefault="001126B4" w:rsidP="005A2C28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После обнаружения кишечной палочки в воде определяют энтерококки. 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качестве санитарно-показательных используется два вида стрептококков: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Enterococcus</w:t>
      </w:r>
      <w:proofErr w:type="spellEnd"/>
      <w:r w:rsidRPr="00C65D4B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faecalis</w:t>
      </w:r>
      <w:proofErr w:type="spellEnd"/>
      <w:r w:rsidRPr="00C65D4B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Enterococcus</w:t>
      </w:r>
      <w:proofErr w:type="spellEnd"/>
      <w:r w:rsidRPr="00C65D4B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2BBA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en-US"/>
        </w:rPr>
        <w:t>faecium</w:t>
      </w:r>
      <w:proofErr w:type="spellEnd"/>
      <w:r w:rsidRPr="00C65D4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</w:p>
    <w:p w:rsidR="001126B4" w:rsidRDefault="001126B4" w:rsidP="005A2C28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Через мембранный фильтр пропус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кают 50 мл воды и мембранные фильтры вы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кладывают на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агаризованные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диаг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ностические среды. Для обнаружения энтер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ококков используют среды, содер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жащие 40 % желчи (рН 9.6–10.2) или среды с азидом натрия и азидом калия.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На этих средах колонии энтерококков имею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 черный цвет. По ГОСТу в питье</w:t>
      </w:r>
      <w:r w:rsidRPr="00A6486F">
        <w:rPr>
          <w:rFonts w:ascii="Times New Roman" w:eastAsia="TimesNewRoman" w:hAnsi="Times New Roman" w:cs="Times New Roman"/>
          <w:color w:val="000000"/>
          <w:sz w:val="28"/>
          <w:szCs w:val="28"/>
        </w:rPr>
        <w:t>вой воде не должно содержаться ни одного энтерококка в 50 мл воды.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Отбор пр</w:t>
      </w:r>
      <w:r w:rsidR="005A2C28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б воды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Для отбор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б используют специально предназначенную для этих целей: одноразовую посуду или емкости многократного применения, изготовленные из материалов, не влияющих на жизнедеятельность микроорганизмов. Емкости оснащены плотно закрывающимися пробками (силиконовыми, резиновыми) и защитным колпачком. Многоразовая посуда и п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обки должны выдерживать стери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зацию сухим жаром или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автоклавированием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 При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отборе проб в одной и той же точке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для различных целей первыми отбирают пробы для бактериологических исследований.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Отобранную пробу маркируют и сопровождают документом отбора проб воды с указанием ме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ста, даты, времени забора, фами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лии специалиста, отбиравшего пробу и цели исследования. Указывают особые обстоятельства: глубину отбора, условия транспортировки, время спуска воды из крана и т.д.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Доставку проб питьевой воды осуществляют в контейнерах-холодильниках при температуре 4-10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С. При соблюдении указанных условий срок начала исследований от момента отбора проб не должен превышать 6  ч.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Определение микробного числа воды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 флаконов с пробкой снимают бумажные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колпачки, вынимают пробки, горлышки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фламбируют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 после чего воду тщ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льно перемешивают.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Из каждой пробы делают посев с таким расчетом, чтобы число выросших на чашках колоний колебалось в пределах от 30 до 300.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По 1 мл каждого разведения вносят в 2 стерильные чашки Петри, после чего их заливают 10-15 мл расплавленного и остуженного до 45-50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 МПА (РПА), который тщательно круговыми движениями 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перемешивают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 Среде дают застыть и инкубируют при 37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С. Воду из открытых водоемов засевают параллельно на две серии чашек, одну из которых инкубируют при 37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 в течение суток, а другую – 2 суток при 20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С. Затем подсчитывают количество выросших на поверхности и глубине среды колоний и вычисляют микробное число воды – количество микроорганизмов в 1 мл.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Определение общих и </w:t>
      </w:r>
      <w:proofErr w:type="spellStart"/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термотолерантных</w:t>
      </w:r>
      <w:proofErr w:type="spellEnd"/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колиформных</w:t>
      </w:r>
      <w:proofErr w:type="spellEnd"/>
      <w:r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 xml:space="preserve"> бактерий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 общим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термотолерантным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бактериям (ОКБ) относятся аэробные и факультативно-анаэробные не образующие спор грамотрицательные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оксидазоотрицательные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палочки,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сбраживающие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лактозу с образованием кислоты и газа при температуре 37(±1)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 в течение 24-48 ч.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Терм</w:t>
      </w:r>
      <w:r w:rsidR="005A2C28">
        <w:rPr>
          <w:rFonts w:ascii="Times New Roman" w:eastAsia="TimesNew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толерантные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колиформные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бактерии (ТКБ) в дополнение к вышеперечисленному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сбраживают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лактозу до кислоты и газа при 44(±0,5)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 в течение 24 ч.</w:t>
      </w:r>
      <w:proofErr w:type="gramEnd"/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ОКБ и ТКБ определяют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титрационным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(бродильным) и мембранными методами. Арбитражным является метод мембранной фильтрации.</w:t>
      </w:r>
    </w:p>
    <w:p w:rsidR="001126B4" w:rsidRDefault="001126B4" w:rsidP="001126B4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Задания для самостоятельной подготовки по теме занятия.</w:t>
      </w:r>
    </w:p>
    <w:p w:rsidR="001126B4" w:rsidRDefault="001126B4" w:rsidP="001126B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Описать проведение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титрационного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(бродильного)метода определения ОКБ и ТКБ</w:t>
      </w:r>
    </w:p>
    <w:p w:rsidR="001126B4" w:rsidRDefault="001126B4" w:rsidP="001126B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Записать рецепты питательных сред: МПА,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глюкозо-петонной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среды, среды</w:t>
      </w: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Э</w:t>
      </w:r>
      <w:proofErr w:type="gram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ндо,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железо-сульфитного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агара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(среды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Вильсон-Блера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энтерококковый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агар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желточно-солевой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агар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1126B4" w:rsidRDefault="001126B4" w:rsidP="001126B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Знать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последователльность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этапов проведения санитарно-микробиологических исследований воды</w:t>
      </w:r>
    </w:p>
    <w:p w:rsidR="001126B4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1126B4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1126B4" w:rsidRPr="00281FC6" w:rsidRDefault="001126B4" w:rsidP="001126B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0B22B3" w:rsidRDefault="000B22B3">
      <w:bookmarkStart w:id="0" w:name="_GoBack"/>
      <w:bookmarkEnd w:id="0"/>
    </w:p>
    <w:sectPr w:rsidR="000B22B3" w:rsidSect="00F0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9C1"/>
    <w:multiLevelType w:val="hybridMultilevel"/>
    <w:tmpl w:val="86CA5F18"/>
    <w:lvl w:ilvl="0" w:tplc="966E8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26B4"/>
    <w:rsid w:val="000B22B3"/>
    <w:rsid w:val="001126B4"/>
    <w:rsid w:val="005A2C28"/>
    <w:rsid w:val="00F0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2015-10-15T01:46:00Z</dcterms:created>
  <dcterms:modified xsi:type="dcterms:W3CDTF">2015-10-17T02:42:00Z</dcterms:modified>
</cp:coreProperties>
</file>